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258598">
      <w:pPr>
        <w:jc w:val="both"/>
        <w:rPr>
          <w:rFonts w:hint="eastAsia" w:ascii="黑体" w:hAnsi="黑体" w:eastAsia="黑体" w:cs="黑体"/>
          <w:b/>
          <w:bCs/>
          <w:sz w:val="32"/>
          <w:szCs w:val="32"/>
          <w:lang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14:paraId="4720AF3C">
      <w:pPr>
        <w:pStyle w:val="2"/>
        <w:keepNext w:val="0"/>
        <w:keepLines w:val="0"/>
        <w:pageBreakBefore w:val="0"/>
        <w:widowControl/>
        <w:kinsoku/>
        <w:wordWrap/>
        <w:overflowPunct/>
        <w:topLinePunct w:val="0"/>
        <w:autoSpaceDE/>
        <w:autoSpaceDN/>
        <w:bidi w:val="0"/>
        <w:adjustRightInd/>
        <w:snapToGrid/>
        <w:spacing w:before="0" w:after="0" w:line="600" w:lineRule="exact"/>
        <w:jc w:val="both"/>
        <w:textAlignment w:val="auto"/>
        <w:rPr>
          <w:rFonts w:hint="eastAsia" w:ascii="方正小标宋简体" w:hAnsi="方正小标宋简体" w:eastAsia="方正小标宋简体" w:cs="方正小标宋简体"/>
          <w:b w:val="0"/>
          <w:bCs w:val="0"/>
          <w:sz w:val="44"/>
          <w:szCs w:val="44"/>
        </w:rPr>
      </w:pPr>
      <w:bookmarkStart w:id="0" w:name="_GoBack"/>
      <w:bookmarkEnd w:id="0"/>
    </w:p>
    <w:p w14:paraId="2CE81762">
      <w:pPr>
        <w:pStyle w:val="2"/>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《周口市户外广告和招牌设施管理办法》</w:t>
      </w:r>
    </w:p>
    <w:p w14:paraId="3F04389F">
      <w:pPr>
        <w:pStyle w:val="2"/>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（征求意见稿）</w:t>
      </w:r>
      <w:r>
        <w:rPr>
          <w:rFonts w:hint="eastAsia" w:ascii="方正小标宋简体" w:hAnsi="方正小标宋简体" w:eastAsia="方正小标宋简体" w:cs="方正小标宋简体"/>
          <w:b w:val="0"/>
          <w:bCs w:val="0"/>
          <w:sz w:val="44"/>
          <w:szCs w:val="44"/>
        </w:rPr>
        <w:t>起草说明</w:t>
      </w:r>
    </w:p>
    <w:p w14:paraId="78E8D438">
      <w:pPr>
        <w:pStyle w:val="3"/>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eastAsia" w:ascii="黑体" w:hAnsi="黑体" w:eastAsia="黑体" w:cs="黑体"/>
          <w:b w:val="0"/>
          <w:bCs w:val="0"/>
        </w:rPr>
      </w:pPr>
    </w:p>
    <w:p w14:paraId="7450BAC7">
      <w:pPr>
        <w:pStyle w:val="3"/>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黑体" w:hAnsi="黑体" w:eastAsia="黑体" w:cs="黑体"/>
          <w:b w:val="0"/>
          <w:bCs w:val="0"/>
        </w:rPr>
      </w:pPr>
      <w:r>
        <w:rPr>
          <w:rFonts w:hint="eastAsia" w:ascii="黑体" w:hAnsi="黑体" w:eastAsia="黑体" w:cs="黑体"/>
          <w:b w:val="0"/>
          <w:bCs w:val="0"/>
        </w:rPr>
        <w:t>一、起草背景</w:t>
      </w:r>
    </w:p>
    <w:p w14:paraId="1D06E4AB">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pPr>
      <w:r>
        <w:rPr>
          <w:rFonts w:hint="eastAsia" w:ascii="楷体" w:hAnsi="楷体" w:eastAsia="楷体" w:cs="楷体"/>
          <w:b w:val="0"/>
          <w:bCs w:val="0"/>
          <w:sz w:val="32"/>
          <w:szCs w:val="32"/>
        </w:rPr>
        <w:t>（一）上位法依据</w:t>
      </w:r>
      <w:r>
        <w:rPr>
          <w:rFonts w:hint="eastAsia" w:ascii="楷体" w:hAnsi="楷体" w:eastAsia="楷体" w:cs="楷体"/>
          <w:b w:val="0"/>
          <w:bCs w:val="0"/>
          <w:sz w:val="32"/>
          <w:szCs w:val="32"/>
          <w:lang w:eastAsia="zh-CN"/>
        </w:rPr>
        <w:t>。</w:t>
      </w:r>
      <w:r>
        <w:rPr>
          <w:rFonts w:hint="eastAsia" w:ascii="仿宋_GB2312" w:hAnsi="仿宋_GB2312" w:eastAsia="仿宋_GB2312" w:cs="仿宋_GB2312"/>
          <w:b w:val="0"/>
          <w:bCs w:val="0"/>
          <w:sz w:val="32"/>
          <w:szCs w:val="32"/>
        </w:rPr>
        <w:t>《中华人民共和国广告法》第四十一条明确规定：“县级以上地方人民政府应当组织有关部门加强对利用户外场所、空间、设施等发布户外广告的监督管理，制定户外广告设置规划和安全要求。户外广告的管理办法，由地方性法规、地方政府规章规定。” 国务院《城市市容和环境卫生管理条例》第十一条规定：“在城市中设置户外广告、标语牌、画廊、橱窗等，应当内容健康、外型美观，并定期维修、油饰或者拆除。大型户外广告的设置必须征得城市人民政府市容环境卫生行政主管部门同意后，按照有关规定办理审批手续。”《河南省 &lt; 城市市容和环境卫生管理条例 &gt; 实施办法》第十三条也对相关审批流程作出规定。这些上位法为我市制定户外广告和招牌设施管理办法提供了坚实的法律依据。</w:t>
      </w:r>
    </w:p>
    <w:p w14:paraId="34C1E018">
      <w:pPr>
        <w:ind w:firstLine="640" w:firstLineChars="200"/>
        <w:rPr>
          <w:rFonts w:hint="eastAsia" w:ascii="仿宋_GB2312" w:hAnsi="仿宋_GB2312" w:eastAsia="仿宋_GB2312" w:cs="仿宋_GB2312"/>
          <w:b w:val="0"/>
          <w:bCs w:val="0"/>
          <w:sz w:val="32"/>
          <w:szCs w:val="32"/>
        </w:rPr>
      </w:pPr>
      <w:r>
        <w:rPr>
          <w:rFonts w:hint="eastAsia" w:ascii="楷体" w:hAnsi="楷体" w:eastAsia="楷体" w:cs="楷体"/>
          <w:b w:val="0"/>
          <w:bCs w:val="0"/>
          <w:sz w:val="32"/>
          <w:szCs w:val="32"/>
        </w:rPr>
        <w:t>（二）现实需求</w:t>
      </w:r>
      <w:r>
        <w:rPr>
          <w:rFonts w:hint="eastAsia" w:ascii="楷体" w:hAnsi="楷体" w:eastAsia="楷体" w:cs="楷体"/>
          <w:b w:val="0"/>
          <w:bCs w:val="0"/>
          <w:sz w:val="32"/>
          <w:szCs w:val="32"/>
          <w:lang w:eastAsia="zh-CN"/>
        </w:rPr>
        <w:t>。</w:t>
      </w: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b w:val="0"/>
          <w:bCs w:val="0"/>
          <w:sz w:val="32"/>
          <w:szCs w:val="32"/>
        </w:rPr>
        <w:t>现行的《周口市户外广告管理暂行规定》于 2011 年发布实施，部分内容已难以适应</w:t>
      </w:r>
      <w:r>
        <w:rPr>
          <w:rFonts w:hint="eastAsia" w:ascii="仿宋_GB2312" w:hAnsi="仿宋_GB2312" w:eastAsia="仿宋_GB2312" w:cs="仿宋_GB2312"/>
          <w:b w:val="0"/>
          <w:bCs w:val="0"/>
          <w:sz w:val="32"/>
          <w:szCs w:val="32"/>
          <w:lang w:eastAsia="zh-CN"/>
        </w:rPr>
        <w:t>社会</w:t>
      </w:r>
      <w:r>
        <w:rPr>
          <w:rFonts w:hint="eastAsia" w:ascii="仿宋_GB2312" w:hAnsi="仿宋_GB2312" w:eastAsia="仿宋_GB2312" w:cs="仿宋_GB2312"/>
          <w:b w:val="0"/>
          <w:bCs w:val="0"/>
          <w:sz w:val="32"/>
          <w:szCs w:val="32"/>
        </w:rPr>
        <w:t>发展新形势，</w:t>
      </w:r>
      <w:r>
        <w:rPr>
          <w:rFonts w:hint="eastAsia" w:ascii="仿宋_GB2312" w:hAnsi="仿宋_GB2312" w:eastAsia="仿宋_GB2312" w:cs="仿宋_GB2312"/>
          <w:b w:val="0"/>
          <w:bCs w:val="0"/>
          <w:sz w:val="32"/>
          <w:szCs w:val="32"/>
          <w:lang w:eastAsia="zh-CN"/>
        </w:rPr>
        <w:t>特别是户外招牌设置的相关的规定，审批条件和程序存在一定的不合理性，在一定程度上不利于经营活动的开展。</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b w:val="0"/>
          <w:bCs w:val="0"/>
          <w:sz w:val="32"/>
          <w:szCs w:val="32"/>
          <w:lang w:eastAsia="zh-CN"/>
        </w:rPr>
        <w:t>从全国范围、全省范围、全市范围来看，门头招牌安全情况整体较好，极少发生安全事故。对门头招牌的进行过渡管理已无必要。</w:t>
      </w:r>
      <w:r>
        <w:rPr>
          <w:rFonts w:hint="eastAsia" w:ascii="仿宋_GB2312" w:hAnsi="仿宋_GB2312" w:eastAsia="仿宋_GB2312" w:cs="仿宋_GB2312"/>
          <w:b/>
          <w:bCs/>
          <w:sz w:val="32"/>
          <w:szCs w:val="32"/>
          <w:lang w:eastAsia="zh-CN"/>
        </w:rPr>
        <w:t>三是</w:t>
      </w:r>
      <w:r>
        <w:rPr>
          <w:rFonts w:hint="eastAsia" w:ascii="仿宋_GB2312" w:hAnsi="仿宋_GB2312" w:eastAsia="仿宋_GB2312" w:cs="仿宋_GB2312"/>
          <w:b w:val="0"/>
          <w:bCs w:val="0"/>
          <w:sz w:val="32"/>
          <w:szCs w:val="32"/>
          <w:lang w:val="en-US" w:eastAsia="zh-CN"/>
        </w:rPr>
        <w:t>住房和城乡建设部在2021年12月31日印发了《城市户外广告和招牌设施技术标准》。并且，住房和城乡建设部办公厅在2022年7月15日《关于开展城市户外广告和招牌设施设置安全隐患集中排查整治工作的通知》通知中明确规定，排查范围、排查重点要参照《城市户外广告和招牌设施技术标准》进行，我市应当按照上级文件精神进行落实。</w:t>
      </w: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lang w:eastAsia="zh-CN"/>
        </w:rPr>
        <w:t>是</w:t>
      </w:r>
      <w:r>
        <w:rPr>
          <w:rFonts w:hint="eastAsia" w:ascii="仿宋_GB2312" w:hAnsi="仿宋_GB2312" w:eastAsia="仿宋_GB2312" w:cs="仿宋_GB2312"/>
          <w:b w:val="0"/>
          <w:bCs w:val="0"/>
          <w:sz w:val="32"/>
          <w:szCs w:val="32"/>
          <w:lang w:eastAsia="zh-CN"/>
        </w:rPr>
        <w:t>当前社会经济的发展形势，正在发生新的变化，中央、省、市也相继推出了一系列的扩内需、促销费、优化营商环境等各方面的政策措施，为进一步便利市场主体设置招牌设施、促进营商环境的提升、响应全国统一大市场建设要求，对现有的</w:t>
      </w:r>
      <w:r>
        <w:rPr>
          <w:rFonts w:hint="eastAsia" w:ascii="仿宋_GB2312" w:hAnsi="仿宋_GB2312" w:eastAsia="仿宋_GB2312" w:cs="仿宋_GB2312"/>
          <w:b w:val="0"/>
          <w:bCs w:val="0"/>
          <w:sz w:val="32"/>
          <w:szCs w:val="32"/>
        </w:rPr>
        <w:t>《周口市户外广告管理暂行规定》</w:t>
      </w:r>
      <w:r>
        <w:rPr>
          <w:rFonts w:hint="eastAsia" w:ascii="仿宋_GB2312" w:hAnsi="仿宋_GB2312" w:eastAsia="仿宋_GB2312" w:cs="仿宋_GB2312"/>
          <w:b w:val="0"/>
          <w:bCs w:val="0"/>
          <w:sz w:val="32"/>
          <w:szCs w:val="32"/>
          <w:lang w:eastAsia="zh-CN"/>
        </w:rPr>
        <w:t>中的相关管理措施进行修改符合社会发展需要</w:t>
      </w:r>
      <w:r>
        <w:rPr>
          <w:rFonts w:hint="eastAsia" w:ascii="仿宋_GB2312" w:hAnsi="仿宋_GB2312" w:eastAsia="仿宋_GB2312" w:cs="仿宋_GB2312"/>
          <w:b w:val="0"/>
          <w:bCs w:val="0"/>
          <w:sz w:val="32"/>
          <w:szCs w:val="32"/>
        </w:rPr>
        <w:t>。</w:t>
      </w:r>
    </w:p>
    <w:p w14:paraId="511DA871">
      <w:pPr>
        <w:pStyle w:val="3"/>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黑体" w:hAnsi="黑体" w:eastAsia="黑体" w:cs="黑体"/>
          <w:b w:val="0"/>
          <w:bCs w:val="0"/>
        </w:rPr>
      </w:pPr>
      <w:r>
        <w:rPr>
          <w:rFonts w:hint="eastAsia" w:ascii="黑体" w:hAnsi="黑体" w:eastAsia="黑体" w:cs="黑体"/>
          <w:b w:val="0"/>
          <w:bCs w:val="0"/>
        </w:rPr>
        <w:t>二、起草过程</w:t>
      </w:r>
    </w:p>
    <w:p w14:paraId="71839195">
      <w:pPr>
        <w:pStyle w:val="3"/>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rPr>
      </w:pPr>
      <w:r>
        <w:rPr>
          <w:rFonts w:hint="eastAsia" w:ascii="楷体" w:hAnsi="楷体" w:eastAsia="楷体" w:cs="楷体"/>
          <w:b w:val="0"/>
          <w:bCs w:val="0"/>
          <w:sz w:val="32"/>
          <w:szCs w:val="32"/>
        </w:rPr>
        <w:t>（一）调研准备阶段</w:t>
      </w:r>
      <w:r>
        <w:rPr>
          <w:rFonts w:hint="eastAsia" w:ascii="楷体" w:hAnsi="楷体" w:eastAsia="楷体" w:cs="楷体"/>
          <w:b w:val="0"/>
          <w:bCs w:val="0"/>
          <w:sz w:val="32"/>
          <w:szCs w:val="32"/>
          <w:lang w:eastAsia="zh-CN"/>
        </w:rPr>
        <w:t>。</w:t>
      </w:r>
      <w:r>
        <w:rPr>
          <w:rFonts w:hint="eastAsia" w:ascii="仿宋_GB2312" w:hAnsi="仿宋_GB2312" w:eastAsia="仿宋_GB2312" w:cs="仿宋_GB2312"/>
          <w:b w:val="0"/>
          <w:bCs w:val="0"/>
          <w:sz w:val="32"/>
          <w:szCs w:val="32"/>
        </w:rPr>
        <w:t>成立专门起草小组，深入开展调研工作。一方面，收集整理国家、省及其他城市有关户外广告和招牌设施管理的法律法规、政策文件以及先进经验做法，如省会郑州市 2017 年出台的《郑州市户外广告和招牌设置管理条例》及配套的《郑州市户外广告设置技术规范》，新乡市 2021 年出台的《新乡市户外广告设置管理条例》等，为我市办法起草提供参考借鉴。另一方面，对我市中心城区及各县（市、区）户外广告和招牌设施设置现状进行</w:t>
      </w:r>
      <w:r>
        <w:rPr>
          <w:rFonts w:hint="eastAsia" w:ascii="仿宋_GB2312" w:hAnsi="仿宋_GB2312" w:eastAsia="仿宋_GB2312" w:cs="仿宋_GB2312"/>
          <w:b w:val="0"/>
          <w:bCs w:val="0"/>
          <w:sz w:val="32"/>
          <w:szCs w:val="32"/>
          <w:lang w:eastAsia="zh-CN"/>
        </w:rPr>
        <w:t>调研了解，掌握管理现状、以及存在的情况，</w:t>
      </w:r>
      <w:r>
        <w:rPr>
          <w:rFonts w:hint="eastAsia" w:ascii="仿宋_GB2312" w:hAnsi="仿宋_GB2312" w:eastAsia="仿宋_GB2312" w:cs="仿宋_GB2312"/>
          <w:b w:val="0"/>
          <w:bCs w:val="0"/>
          <w:sz w:val="32"/>
          <w:szCs w:val="32"/>
        </w:rPr>
        <w:t>为办法起草奠定坚实基础。</w:t>
      </w:r>
    </w:p>
    <w:p w14:paraId="23AC4089">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rPr>
      </w:pPr>
      <w:r>
        <w:rPr>
          <w:rFonts w:hint="eastAsia" w:ascii="楷体" w:hAnsi="楷体" w:eastAsia="楷体" w:cs="楷体"/>
          <w:b w:val="0"/>
          <w:bCs w:val="0"/>
          <w:sz w:val="32"/>
          <w:szCs w:val="32"/>
        </w:rPr>
        <w:t>（二）起草阶段</w:t>
      </w:r>
      <w:r>
        <w:rPr>
          <w:rFonts w:hint="eastAsia" w:ascii="楷体" w:hAnsi="楷体" w:eastAsia="楷体" w:cs="楷体"/>
          <w:b w:val="0"/>
          <w:bCs w:val="0"/>
          <w:sz w:val="32"/>
          <w:szCs w:val="32"/>
          <w:lang w:eastAsia="zh-CN"/>
        </w:rPr>
        <w:t>。</w:t>
      </w:r>
      <w:r>
        <w:rPr>
          <w:rFonts w:hint="eastAsia" w:ascii="仿宋_GB2312" w:hAnsi="仿宋_GB2312" w:eastAsia="仿宋_GB2312" w:cs="仿宋_GB2312"/>
          <w:b w:val="0"/>
          <w:bCs w:val="0"/>
          <w:sz w:val="32"/>
          <w:szCs w:val="32"/>
        </w:rPr>
        <w:t>在充分调研和借鉴先进经验的基础上，起草小组</w:t>
      </w:r>
      <w:r>
        <w:rPr>
          <w:rFonts w:hint="eastAsia" w:ascii="仿宋_GB2312" w:hAnsi="仿宋_GB2312" w:eastAsia="仿宋_GB2312" w:cs="仿宋_GB2312"/>
          <w:b w:val="0"/>
          <w:bCs w:val="0"/>
          <w:sz w:val="32"/>
          <w:szCs w:val="32"/>
          <w:lang w:eastAsia="zh-CN"/>
        </w:rPr>
        <w:t>参考</w:t>
      </w:r>
      <w:r>
        <w:rPr>
          <w:rFonts w:hint="eastAsia" w:ascii="仿宋_GB2312" w:hAnsi="仿宋_GB2312" w:eastAsia="仿宋_GB2312" w:cs="仿宋_GB2312"/>
          <w:b w:val="0"/>
          <w:bCs w:val="0"/>
          <w:sz w:val="32"/>
          <w:szCs w:val="32"/>
        </w:rPr>
        <w:t>《中华人民共和国广告法》《城市市容和环境卫生管理条例》</w:t>
      </w:r>
      <w:r>
        <w:rPr>
          <w:rFonts w:hint="eastAsia" w:ascii="仿宋_GB2312" w:hAnsi="仿宋_GB2312" w:eastAsia="仿宋_GB2312" w:cs="仿宋_GB2312"/>
          <w:b w:val="0"/>
          <w:bCs w:val="0"/>
          <w:sz w:val="32"/>
          <w:szCs w:val="32"/>
          <w:lang w:val="en-US" w:eastAsia="zh-CN"/>
        </w:rPr>
        <w:t>《城市容貌标准》《城市户外广告和招牌设施技术标准》，并结合</w:t>
      </w:r>
      <w:r>
        <w:rPr>
          <w:rFonts w:hint="eastAsia" w:ascii="仿宋_GB2312" w:hAnsi="仿宋_GB2312" w:eastAsia="仿宋_GB2312" w:cs="仿宋_GB2312"/>
          <w:b w:val="0"/>
          <w:bCs w:val="0"/>
          <w:sz w:val="32"/>
          <w:szCs w:val="32"/>
        </w:rPr>
        <w:t>我市实际情况，拟定</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《周口市户外广告和招牌设施管理办法（</w:t>
      </w:r>
      <w:r>
        <w:rPr>
          <w:rFonts w:hint="eastAsia" w:ascii="仿宋_GB2312" w:hAnsi="仿宋_GB2312" w:eastAsia="仿宋_GB2312" w:cs="仿宋_GB2312"/>
          <w:b w:val="0"/>
          <w:bCs w:val="0"/>
          <w:sz w:val="32"/>
          <w:szCs w:val="32"/>
          <w:lang w:eastAsia="zh-CN"/>
        </w:rPr>
        <w:t>征求意见稿</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对户外广告和招牌设施的</w:t>
      </w:r>
      <w:r>
        <w:rPr>
          <w:rFonts w:hint="eastAsia" w:ascii="仿宋_GB2312" w:hAnsi="仿宋_GB2312" w:eastAsia="仿宋_GB2312" w:cs="仿宋_GB2312"/>
          <w:b w:val="0"/>
          <w:bCs w:val="0"/>
          <w:sz w:val="32"/>
          <w:szCs w:val="32"/>
          <w:lang w:eastAsia="zh-CN"/>
        </w:rPr>
        <w:t>定义范围、</w:t>
      </w:r>
      <w:r>
        <w:rPr>
          <w:rFonts w:hint="eastAsia" w:ascii="仿宋_GB2312" w:hAnsi="仿宋_GB2312" w:eastAsia="仿宋_GB2312" w:cs="仿宋_GB2312"/>
          <w:b w:val="0"/>
          <w:bCs w:val="0"/>
          <w:sz w:val="32"/>
          <w:szCs w:val="32"/>
        </w:rPr>
        <w:t>设置</w:t>
      </w:r>
      <w:r>
        <w:rPr>
          <w:rFonts w:hint="eastAsia" w:ascii="仿宋_GB2312" w:hAnsi="仿宋_GB2312" w:eastAsia="仿宋_GB2312" w:cs="仿宋_GB2312"/>
          <w:b w:val="0"/>
          <w:bCs w:val="0"/>
          <w:sz w:val="32"/>
          <w:szCs w:val="32"/>
          <w:lang w:eastAsia="zh-CN"/>
        </w:rPr>
        <w:t>要求</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附属式户外招牌设施特别规定、服务与管理、负责</w:t>
      </w:r>
      <w:r>
        <w:rPr>
          <w:rFonts w:hint="eastAsia" w:ascii="仿宋_GB2312" w:hAnsi="仿宋_GB2312" w:eastAsia="仿宋_GB2312" w:cs="仿宋_GB2312"/>
          <w:b w:val="0"/>
          <w:bCs w:val="0"/>
          <w:sz w:val="32"/>
          <w:szCs w:val="32"/>
        </w:rPr>
        <w:t>等方面进行全面规定，并组织多次内部讨论和论证，对草案初稿进行反复修改完善，形成较为成熟的征求意见稿。</w:t>
      </w:r>
    </w:p>
    <w:p w14:paraId="13F13E9F">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rPr>
      </w:pPr>
      <w:r>
        <w:rPr>
          <w:rFonts w:hint="eastAsia" w:ascii="楷体" w:hAnsi="楷体" w:eastAsia="楷体" w:cs="楷体"/>
          <w:b w:val="0"/>
          <w:bCs w:val="0"/>
          <w:sz w:val="32"/>
          <w:szCs w:val="32"/>
        </w:rPr>
        <w:t>（三）征求意见阶段</w:t>
      </w:r>
      <w:r>
        <w:rPr>
          <w:rFonts w:hint="eastAsia" w:ascii="楷体" w:hAnsi="楷体" w:eastAsia="楷体" w:cs="楷体"/>
          <w:b w:val="0"/>
          <w:bCs w:val="0"/>
          <w:sz w:val="32"/>
          <w:szCs w:val="32"/>
          <w:lang w:eastAsia="zh-CN"/>
        </w:rPr>
        <w:t>。</w:t>
      </w:r>
      <w:r>
        <w:rPr>
          <w:rFonts w:hint="eastAsia" w:ascii="仿宋_GB2312" w:hAnsi="仿宋_GB2312" w:eastAsia="仿宋_GB2312" w:cs="仿宋_GB2312"/>
          <w:b w:val="0"/>
          <w:bCs w:val="0"/>
          <w:sz w:val="32"/>
          <w:szCs w:val="32"/>
        </w:rPr>
        <w:t>将征求意见稿印发至各县（市、区）</w:t>
      </w:r>
      <w:r>
        <w:rPr>
          <w:rFonts w:hint="eastAsia" w:ascii="仿宋_GB2312" w:hAnsi="仿宋_GB2312" w:eastAsia="仿宋_GB2312" w:cs="仿宋_GB2312"/>
          <w:b w:val="0"/>
          <w:bCs w:val="0"/>
          <w:sz w:val="32"/>
          <w:szCs w:val="32"/>
          <w:lang w:eastAsia="zh-CN"/>
        </w:rPr>
        <w:t>各县市区城市管理部门征集</w:t>
      </w:r>
      <w:r>
        <w:rPr>
          <w:rFonts w:hint="eastAsia" w:ascii="仿宋_GB2312" w:hAnsi="仿宋_GB2312" w:eastAsia="仿宋_GB2312" w:cs="仿宋_GB2312"/>
          <w:b w:val="0"/>
          <w:bCs w:val="0"/>
          <w:sz w:val="32"/>
          <w:szCs w:val="32"/>
        </w:rPr>
        <w:t>意见建议。同时，在</w:t>
      </w:r>
      <w:r>
        <w:rPr>
          <w:rFonts w:hint="eastAsia" w:ascii="仿宋_GB2312" w:hAnsi="仿宋_GB2312" w:eastAsia="仿宋_GB2312" w:cs="仿宋_GB2312"/>
          <w:b w:val="0"/>
          <w:bCs w:val="0"/>
          <w:sz w:val="32"/>
          <w:szCs w:val="32"/>
          <w:lang w:eastAsia="zh-CN"/>
        </w:rPr>
        <w:t>我局官网进行公告征集社会意见，</w:t>
      </w:r>
      <w:r>
        <w:rPr>
          <w:rFonts w:hint="eastAsia" w:ascii="仿宋_GB2312" w:hAnsi="仿宋_GB2312" w:eastAsia="仿宋_GB2312" w:cs="仿宋_GB2312"/>
          <w:b w:val="0"/>
          <w:bCs w:val="0"/>
          <w:sz w:val="32"/>
          <w:szCs w:val="32"/>
        </w:rPr>
        <w:t>公示期为</w:t>
      </w:r>
      <w:r>
        <w:rPr>
          <w:rFonts w:hint="eastAsia" w:ascii="仿宋_GB2312" w:hAnsi="仿宋_GB2312" w:eastAsia="仿宋_GB2312" w:cs="仿宋_GB2312"/>
          <w:b w:val="0"/>
          <w:bCs w:val="0"/>
          <w:sz w:val="32"/>
          <w:szCs w:val="32"/>
          <w:lang w:val="en-US" w:eastAsia="zh-CN"/>
        </w:rPr>
        <w:t>2025年4月11日至4月27日，共计16</w:t>
      </w:r>
      <w:r>
        <w:rPr>
          <w:rFonts w:hint="eastAsia" w:ascii="仿宋_GB2312" w:hAnsi="仿宋_GB2312" w:eastAsia="仿宋_GB2312" w:cs="仿宋_GB2312"/>
          <w:b w:val="0"/>
          <w:bCs w:val="0"/>
          <w:sz w:val="32"/>
          <w:szCs w:val="32"/>
          <w:lang w:eastAsia="zh-CN"/>
        </w:rPr>
        <w:t>日</w:t>
      </w:r>
      <w:r>
        <w:rPr>
          <w:rFonts w:hint="eastAsia" w:ascii="仿宋_GB2312" w:hAnsi="仿宋_GB2312" w:eastAsia="仿宋_GB2312" w:cs="仿宋_GB2312"/>
          <w:b w:val="0"/>
          <w:bCs w:val="0"/>
          <w:sz w:val="32"/>
          <w:szCs w:val="32"/>
        </w:rPr>
        <w:t>。期间共收到</w:t>
      </w:r>
      <w:r>
        <w:rPr>
          <w:rFonts w:hint="eastAsia" w:ascii="仿宋_GB2312" w:hAnsi="仿宋_GB2312" w:eastAsia="仿宋_GB2312" w:cs="仿宋_GB2312"/>
          <w:b w:val="0"/>
          <w:bCs w:val="0"/>
          <w:sz w:val="32"/>
          <w:szCs w:val="32"/>
          <w:lang w:eastAsia="zh-CN"/>
        </w:rPr>
        <w:t>各县市区城市管理部门</w:t>
      </w:r>
      <w:r>
        <w:rPr>
          <w:rFonts w:hint="eastAsia" w:ascii="仿宋_GB2312" w:hAnsi="仿宋_GB2312" w:eastAsia="仿宋_GB2312" w:cs="仿宋_GB2312"/>
          <w:b w:val="0"/>
          <w:bCs w:val="0"/>
          <w:sz w:val="32"/>
          <w:szCs w:val="32"/>
        </w:rPr>
        <w:t>意见建议</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条，其中有效意见</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条</w:t>
      </w:r>
      <w:r>
        <w:rPr>
          <w:rFonts w:hint="eastAsia" w:ascii="仿宋_GB2312" w:hAnsi="仿宋_GB2312" w:eastAsia="仿宋_GB2312" w:cs="仿宋_GB2312"/>
          <w:b w:val="0"/>
          <w:bCs w:val="0"/>
          <w:sz w:val="32"/>
          <w:szCs w:val="32"/>
          <w:lang w:eastAsia="zh-CN"/>
        </w:rPr>
        <w:t>，未收到社会意见</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b w:val="0"/>
          <w:bCs w:val="0"/>
          <w:sz w:val="32"/>
          <w:szCs w:val="32"/>
        </w:rPr>
        <w:t>针对反馈意见，起草小组进行认真梳理分析，对合理意见建议予以采纳吸收，</w:t>
      </w:r>
      <w:r>
        <w:rPr>
          <w:rFonts w:hint="eastAsia" w:ascii="仿宋_GB2312" w:hAnsi="仿宋_GB2312" w:eastAsia="仿宋_GB2312" w:cs="仿宋_GB2312"/>
          <w:b w:val="0"/>
          <w:bCs w:val="0"/>
          <w:sz w:val="32"/>
          <w:szCs w:val="32"/>
          <w:lang w:eastAsia="zh-CN"/>
        </w:rPr>
        <w:t>不合理的予以回复，</w:t>
      </w:r>
      <w:r>
        <w:rPr>
          <w:rFonts w:hint="eastAsia" w:ascii="仿宋_GB2312" w:hAnsi="仿宋_GB2312" w:eastAsia="仿宋_GB2312" w:cs="仿宋_GB2312"/>
          <w:b w:val="0"/>
          <w:bCs w:val="0"/>
          <w:sz w:val="32"/>
          <w:szCs w:val="32"/>
        </w:rPr>
        <w:t>并对</w:t>
      </w:r>
      <w:r>
        <w:rPr>
          <w:rFonts w:hint="eastAsia" w:ascii="仿宋_GB2312" w:hAnsi="仿宋_GB2312" w:eastAsia="仿宋_GB2312" w:cs="仿宋_GB2312"/>
          <w:b w:val="0"/>
          <w:bCs w:val="0"/>
          <w:sz w:val="32"/>
          <w:szCs w:val="32"/>
          <w:lang w:eastAsia="zh-CN"/>
        </w:rPr>
        <w:t>征求意见稿</w:t>
      </w:r>
      <w:r>
        <w:rPr>
          <w:rFonts w:hint="eastAsia" w:ascii="仿宋_GB2312" w:hAnsi="仿宋_GB2312" w:eastAsia="仿宋_GB2312" w:cs="仿宋_GB2312"/>
          <w:b w:val="0"/>
          <w:bCs w:val="0"/>
          <w:sz w:val="32"/>
          <w:szCs w:val="32"/>
        </w:rPr>
        <w:t>进行再次修改完善，形成《周口市户外广告和招牌设施管理办法（送审稿）》。</w:t>
      </w:r>
    </w:p>
    <w:p w14:paraId="07C922F9">
      <w:pPr>
        <w:pStyle w:val="3"/>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黑体" w:hAnsi="黑体" w:eastAsia="黑体" w:cs="黑体"/>
          <w:b w:val="0"/>
          <w:bCs w:val="0"/>
        </w:rPr>
      </w:pPr>
      <w:r>
        <w:rPr>
          <w:rFonts w:hint="eastAsia" w:ascii="黑体" w:hAnsi="黑体" w:eastAsia="黑体" w:cs="黑体"/>
          <w:b w:val="0"/>
          <w:bCs w:val="0"/>
        </w:rPr>
        <w:t>三、预期效果</w:t>
      </w:r>
    </w:p>
    <w:p w14:paraId="361C050B">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楷体" w:hAnsi="楷体" w:eastAsia="楷体" w:cs="楷体"/>
          <w:b w:val="0"/>
          <w:bCs w:val="0"/>
          <w:sz w:val="32"/>
          <w:szCs w:val="32"/>
          <w:lang w:eastAsia="zh-CN"/>
        </w:rPr>
        <w:t>（一）行政效率进一步提升。</w:t>
      </w:r>
      <w:r>
        <w:rPr>
          <w:rFonts w:hint="eastAsia" w:ascii="仿宋_GB2312" w:hAnsi="仿宋_GB2312" w:eastAsia="仿宋_GB2312" w:cs="仿宋_GB2312"/>
          <w:b w:val="0"/>
          <w:bCs w:val="0"/>
          <w:sz w:val="32"/>
          <w:szCs w:val="32"/>
          <w:lang w:eastAsia="zh-CN"/>
        </w:rPr>
        <w:t>新的办法参照</w:t>
      </w:r>
      <w:r>
        <w:rPr>
          <w:rFonts w:hint="eastAsia" w:ascii="仿宋_GB2312" w:hAnsi="仿宋_GB2312" w:eastAsia="仿宋_GB2312" w:cs="仿宋_GB2312"/>
          <w:b w:val="0"/>
          <w:bCs w:val="0"/>
          <w:sz w:val="32"/>
          <w:szCs w:val="32"/>
          <w:lang w:val="en-US" w:eastAsia="zh-CN"/>
        </w:rPr>
        <w:t>《城市户外广告和招牌设施技术标准》对户外广告设施和招牌设施进行了种类上的分类，并对大型的概念进行了明确，即单边大于4米，或者面积大于10平方米的才算大型，</w:t>
      </w:r>
      <w:r>
        <w:rPr>
          <w:rFonts w:hint="eastAsia" w:ascii="仿宋_GB2312" w:hAnsi="仿宋_GB2312" w:eastAsia="仿宋_GB2312" w:cs="仿宋_GB2312"/>
          <w:b w:val="0"/>
          <w:bCs w:val="0"/>
          <w:sz w:val="32"/>
          <w:szCs w:val="32"/>
          <w:lang w:eastAsia="zh-CN"/>
        </w:rPr>
        <w:t>明确了只有</w:t>
      </w:r>
      <w:r>
        <w:rPr>
          <w:rFonts w:hint="eastAsia" w:ascii="仿宋_GB2312" w:hAnsi="仿宋_GB2312" w:eastAsia="仿宋_GB2312" w:cs="仿宋_GB2312"/>
          <w:b w:val="0"/>
          <w:bCs w:val="0"/>
          <w:sz w:val="32"/>
          <w:szCs w:val="32"/>
          <w:lang w:val="en-US" w:eastAsia="zh-CN"/>
        </w:rPr>
        <w:t>设置单边长度大于4米或单面面积大于10平方米的大型户外广告设施</w:t>
      </w:r>
      <w:r>
        <w:rPr>
          <w:rFonts w:hint="eastAsia" w:ascii="仿宋_GB2312" w:hAnsi="仿宋_GB2312" w:eastAsia="仿宋_GB2312" w:cs="仿宋_GB2312"/>
          <w:b w:val="0"/>
          <w:bCs w:val="0"/>
          <w:sz w:val="32"/>
          <w:szCs w:val="32"/>
          <w:lang w:eastAsia="zh-CN"/>
        </w:rPr>
        <w:t>的才需要取得行政许可，种类或者大小达不到要求的，不需要取得行政许可。预计行政审批事务大幅降低，行政效率进一步提升。</w:t>
      </w:r>
    </w:p>
    <w:p w14:paraId="7DF291A2">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楷体" w:hAnsi="楷体" w:eastAsia="楷体" w:cs="楷体"/>
          <w:b w:val="0"/>
          <w:bCs w:val="0"/>
          <w:sz w:val="32"/>
          <w:szCs w:val="32"/>
          <w:lang w:eastAsia="zh-CN"/>
        </w:rPr>
        <w:t>（二）营商环境的进一步优化。</w:t>
      </w:r>
      <w:r>
        <w:rPr>
          <w:rFonts w:hint="eastAsia" w:ascii="仿宋_GB2312" w:hAnsi="仿宋_GB2312" w:eastAsia="仿宋_GB2312" w:cs="仿宋_GB2312"/>
          <w:b w:val="0"/>
          <w:bCs w:val="0"/>
          <w:sz w:val="32"/>
          <w:szCs w:val="32"/>
          <w:lang w:eastAsia="zh-CN"/>
        </w:rPr>
        <w:t>新办法</w:t>
      </w:r>
      <w:r>
        <w:rPr>
          <w:rFonts w:hint="eastAsia" w:ascii="仿宋_GB2312" w:hAnsi="仿宋_GB2312" w:eastAsia="仿宋_GB2312" w:cs="仿宋_GB2312"/>
          <w:b w:val="0"/>
          <w:bCs w:val="0"/>
          <w:sz w:val="32"/>
          <w:szCs w:val="32"/>
          <w:lang w:val="en-US" w:eastAsia="zh-CN"/>
        </w:rPr>
        <w:t>对于非大型户外广告设施和户外招牌设施的设置，明确了各县（市、区）城市管理部门可以进行备案制管理，但不得以备案的名义设置、实施行政许可。相比原有的行政许可管理模式，</w:t>
      </w:r>
      <w:r>
        <w:rPr>
          <w:rFonts w:hint="eastAsia" w:ascii="仿宋_GB2312" w:hAnsi="仿宋_GB2312" w:eastAsia="仿宋_GB2312" w:cs="仿宋_GB2312"/>
          <w:b w:val="0"/>
          <w:bCs w:val="0"/>
          <w:sz w:val="32"/>
          <w:szCs w:val="32"/>
          <w:lang w:eastAsia="zh-CN"/>
        </w:rPr>
        <w:t>广大市场主体在设置户外招牌设施时将更加便利，营商环境将得到进一步优化。</w:t>
      </w:r>
    </w:p>
    <w:p w14:paraId="43C7210B">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楷体" w:hAnsi="楷体" w:eastAsia="楷体" w:cs="楷体"/>
          <w:b w:val="0"/>
          <w:bCs w:val="0"/>
          <w:sz w:val="32"/>
          <w:szCs w:val="32"/>
          <w:lang w:eastAsia="zh-CN"/>
        </w:rPr>
        <w:t>（三）户外招牌设施的设置更加规范。</w:t>
      </w:r>
      <w:r>
        <w:rPr>
          <w:rFonts w:hint="eastAsia" w:ascii="仿宋_GB2312" w:hAnsi="仿宋_GB2312" w:eastAsia="仿宋_GB2312" w:cs="仿宋_GB2312"/>
          <w:b w:val="0"/>
          <w:bCs w:val="0"/>
          <w:sz w:val="32"/>
          <w:szCs w:val="32"/>
          <w:lang w:eastAsia="zh-CN"/>
        </w:rPr>
        <w:t>办法第三章对</w:t>
      </w:r>
      <w:r>
        <w:rPr>
          <w:rFonts w:hint="eastAsia" w:ascii="仿宋_GB2312" w:hAnsi="仿宋_GB2312" w:eastAsia="仿宋_GB2312" w:cs="仿宋_GB2312"/>
          <w:b w:val="0"/>
          <w:bCs w:val="0"/>
          <w:sz w:val="32"/>
          <w:szCs w:val="32"/>
          <w:lang w:val="en-US" w:eastAsia="zh-CN"/>
        </w:rPr>
        <w:t>附属式户外招牌设施作出了特别规定，对常见的户外招牌设置的位置、宽度、高度上给出了明确的指引，要求在建筑物顶层和二层以上建筑墙面上不得设置户外广告和招牌设施，更加方便市场主体参照执行。</w:t>
      </w:r>
    </w:p>
    <w:p w14:paraId="30836445">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楷体" w:hAnsi="楷体" w:eastAsia="楷体" w:cs="楷体"/>
          <w:b w:val="0"/>
          <w:bCs w:val="0"/>
          <w:sz w:val="32"/>
          <w:szCs w:val="32"/>
          <w:lang w:val="en-US" w:eastAsia="zh-CN"/>
        </w:rPr>
        <w:t>（四）更加美观安全。</w:t>
      </w:r>
      <w:r>
        <w:rPr>
          <w:rFonts w:hint="eastAsia" w:ascii="仿宋_GB2312" w:hAnsi="仿宋_GB2312" w:eastAsia="仿宋_GB2312" w:cs="仿宋_GB2312"/>
          <w:b w:val="0"/>
          <w:bCs w:val="0"/>
          <w:sz w:val="32"/>
          <w:szCs w:val="32"/>
          <w:lang w:val="en-US" w:eastAsia="zh-CN"/>
        </w:rPr>
        <w:t>美观方面，新的办法明确要求户外广告和招牌设施的外观应当符合城市风貌管理、历史文化保护传承等方面的要求，与建筑物色彩、道路原有景观相协调。破损、脏污的，应当及时维修、更换。长期不用的户外广告和招牌设施应当及时拆除；安全方面，新的办法要求要参照住房和城乡建设部发布的《城市容貌标准》《城市户外广告和招牌设施技术标准》进行设置。并定期安全检查、检测。因此预计将更加美观安全。</w:t>
      </w:r>
    </w:p>
    <w:p w14:paraId="32B474AE">
      <w:pPr>
        <w:pStyle w:val="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四、可能产生的影响</w:t>
      </w:r>
    </w:p>
    <w:p w14:paraId="217F516A">
      <w:pPr>
        <w:pStyle w:val="4"/>
        <w:keepNext w:val="0"/>
        <w:keepLines w:val="0"/>
        <w:pageBreakBefore w:val="0"/>
        <w:widowControl/>
        <w:kinsoku/>
        <w:wordWrap/>
        <w:overflowPunct/>
        <w:topLinePunct w:val="0"/>
        <w:autoSpaceDE/>
        <w:autoSpaceDN/>
        <w:bidi w:val="0"/>
        <w:adjustRightInd/>
        <w:snapToGrid/>
        <w:spacing w:before="0" w:after="0" w:line="60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可能产生的影响主要是2层以下户外招牌大量增加。</w:t>
      </w:r>
      <w:r>
        <w:rPr>
          <w:rFonts w:hint="eastAsia" w:ascii="仿宋_GB2312" w:hAnsi="仿宋_GB2312" w:eastAsia="仿宋_GB2312" w:cs="仿宋_GB2312"/>
          <w:b w:val="0"/>
          <w:bCs w:val="0"/>
          <w:sz w:val="32"/>
          <w:szCs w:val="32"/>
          <w:lang w:val="en-US" w:eastAsia="zh-CN"/>
        </w:rPr>
        <w:t>但是考虑到《城市户外广告和招牌设施技术标准》已允许6层以下设置的情况，新的办法即给与了市场主体一定自由度，也考虑到了安全影响，兼顾到了发展和安全，因此新的办法具有一定的可行性。</w:t>
      </w:r>
    </w:p>
    <w:p w14:paraId="08BCB4DE">
      <w:pPr>
        <w:pStyle w:val="16"/>
        <w:ind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综上所述，</w:t>
      </w:r>
      <w:r>
        <w:rPr>
          <w:rFonts w:hint="eastAsia" w:ascii="仿宋_GB2312" w:hAnsi="仿宋_GB2312" w:eastAsia="仿宋_GB2312" w:cs="仿宋_GB2312"/>
          <w:b w:val="0"/>
          <w:bCs w:val="0"/>
          <w:sz w:val="32"/>
          <w:szCs w:val="32"/>
          <w:lang w:eastAsia="zh-CN"/>
        </w:rPr>
        <w:t>新的</w:t>
      </w:r>
      <w:r>
        <w:rPr>
          <w:rFonts w:hint="eastAsia" w:ascii="仿宋_GB2312" w:hAnsi="仿宋_GB2312" w:eastAsia="仿宋_GB2312" w:cs="仿宋_GB2312"/>
          <w:b w:val="0"/>
          <w:bCs w:val="0"/>
          <w:sz w:val="32"/>
          <w:szCs w:val="32"/>
        </w:rPr>
        <w:t>《周口市户外广告和招牌设施管理办法》的</w:t>
      </w:r>
      <w:r>
        <w:rPr>
          <w:rFonts w:hint="eastAsia" w:ascii="仿宋_GB2312" w:hAnsi="仿宋_GB2312" w:eastAsia="仿宋_GB2312" w:cs="仿宋_GB2312"/>
          <w:b w:val="0"/>
          <w:bCs w:val="0"/>
          <w:sz w:val="32"/>
          <w:szCs w:val="32"/>
          <w:lang w:eastAsia="zh-CN"/>
        </w:rPr>
        <w:t>出台</w:t>
      </w:r>
      <w:r>
        <w:rPr>
          <w:rFonts w:hint="eastAsia" w:ascii="仿宋_GB2312" w:hAnsi="仿宋_GB2312" w:eastAsia="仿宋_GB2312" w:cs="仿宋_GB2312"/>
          <w:b w:val="0"/>
          <w:bCs w:val="0"/>
          <w:sz w:val="32"/>
          <w:szCs w:val="32"/>
        </w:rPr>
        <w:t>具有重要的现实意义和必要性，</w:t>
      </w:r>
      <w:r>
        <w:rPr>
          <w:rFonts w:hint="eastAsia" w:ascii="仿宋_GB2312" w:hAnsi="仿宋_GB2312" w:eastAsia="仿宋_GB2312" w:cs="仿宋_GB2312"/>
          <w:b w:val="0"/>
          <w:bCs w:val="0"/>
          <w:sz w:val="32"/>
          <w:szCs w:val="32"/>
          <w:lang w:eastAsia="zh-CN"/>
        </w:rPr>
        <w:t>不仅有利于行政管理工作，还对法治政府建设、构建全国统一大市场、促进市场经济发展具有一定的积极意义。</w:t>
      </w:r>
    </w:p>
    <w:sectPr>
      <w:pgSz w:w="11906" w:h="16838"/>
      <w:pgMar w:top="1440" w:right="1440" w:bottom="1440" w:left="1440" w:header="708" w:footer="708"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7A"/>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小标宋-GB2312">
    <w:panose1 w:val="02000500000000000000"/>
    <w:charset w:val="86"/>
    <w:family w:val="auto"/>
    <w:pitch w:val="default"/>
    <w:sig w:usb0="800002AF" w:usb1="084F6CF8" w:usb2="00000010" w:usb3="00000000" w:csb0="0004000F" w:csb1="00000000"/>
  </w:font>
  <w:font w:name="等线">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5"/>
  </w:compat>
  <w:rsids>
    <w:rsidRoot w:val="00000000"/>
    <w:rsid w:val="0BBE92E9"/>
    <w:rsid w:val="32AF8DC7"/>
    <w:rsid w:val="6F937190"/>
    <w:rsid w:val="7BB6D3B9"/>
    <w:rsid w:val="7FFF6537"/>
    <w:rsid w:val="9D66FF46"/>
    <w:rsid w:val="B1DD9CC1"/>
    <w:rsid w:val="CFFFD68C"/>
    <w:rsid w:val="D27B7D8C"/>
    <w:rsid w:val="E257FE40"/>
    <w:rsid w:val="EFE4908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00" w:lineRule="exact"/>
      <w:jc w:val="both"/>
    </w:pPr>
    <w:rPr>
      <w:rFonts w:asciiTheme="minorHAnsi" w:hAnsiTheme="minorHAnsi" w:eastAsiaTheme="minorEastAsia" w:cstheme="minorBidi"/>
      <w:sz w:val="21"/>
      <w:szCs w:val="22"/>
    </w:rPr>
  </w:style>
  <w:style w:type="paragraph" w:styleId="2">
    <w:name w:val="heading 1"/>
    <w:basedOn w:val="1"/>
    <w:next w:val="1"/>
    <w:qFormat/>
    <w:uiPriority w:val="0"/>
    <w:pPr>
      <w:spacing w:before="380" w:after="140" w:line="288" w:lineRule="auto"/>
      <w:ind w:left="0"/>
      <w:jc w:val="left"/>
      <w:outlineLvl w:val="0"/>
    </w:pPr>
    <w:rPr>
      <w:rFonts w:ascii="Arial" w:hAnsi="Arial" w:eastAsia="等线" w:cs="Arial"/>
      <w:b/>
      <w:bCs/>
      <w:sz w:val="36"/>
      <w:szCs w:val="36"/>
    </w:rPr>
  </w:style>
  <w:style w:type="paragraph" w:styleId="3">
    <w:name w:val="heading 2"/>
    <w:next w:val="1"/>
    <w:qFormat/>
    <w:uiPriority w:val="0"/>
    <w:pPr>
      <w:spacing w:before="320" w:after="120" w:line="288" w:lineRule="auto"/>
      <w:ind w:left="0"/>
      <w:jc w:val="left"/>
      <w:outlineLvl w:val="1"/>
    </w:pPr>
    <w:rPr>
      <w:rFonts w:ascii="Arial" w:hAnsi="Arial" w:eastAsia="等线" w:cs="Arial"/>
      <w:b/>
      <w:bCs/>
      <w:sz w:val="32"/>
      <w:szCs w:val="32"/>
    </w:rPr>
  </w:style>
  <w:style w:type="paragraph" w:styleId="4">
    <w:name w:val="heading 3"/>
    <w:next w:val="1"/>
    <w:qFormat/>
    <w:uiPriority w:val="0"/>
    <w:pPr>
      <w:spacing w:before="300" w:after="120" w:line="288" w:lineRule="auto"/>
      <w:ind w:left="0"/>
      <w:jc w:val="left"/>
      <w:outlineLvl w:val="2"/>
    </w:pPr>
    <w:rPr>
      <w:rFonts w:ascii="Arial" w:hAnsi="Arial" w:eastAsia="等线" w:cs="Arial"/>
      <w:b/>
      <w:bCs/>
      <w:sz w:val="30"/>
      <w:szCs w:val="30"/>
    </w:rPr>
  </w:style>
  <w:style w:type="paragraph" w:styleId="5">
    <w:name w:val="heading 4"/>
    <w:next w:val="1"/>
    <w:qFormat/>
    <w:uiPriority w:val="0"/>
    <w:pPr>
      <w:spacing w:before="260" w:after="120" w:line="288" w:lineRule="auto"/>
      <w:ind w:left="0"/>
      <w:jc w:val="left"/>
      <w:outlineLvl w:val="3"/>
    </w:pPr>
    <w:rPr>
      <w:rFonts w:ascii="Arial" w:hAnsi="Arial" w:eastAsia="等线" w:cs="Arial"/>
      <w:b/>
      <w:bCs/>
      <w:sz w:val="28"/>
      <w:szCs w:val="28"/>
    </w:rPr>
  </w:style>
  <w:style w:type="paragraph" w:styleId="6">
    <w:name w:val="heading 5"/>
    <w:next w:val="1"/>
    <w:qFormat/>
    <w:uiPriority w:val="0"/>
    <w:pPr>
      <w:spacing w:before="240" w:after="120" w:line="288" w:lineRule="auto"/>
      <w:ind w:left="0"/>
      <w:jc w:val="left"/>
      <w:outlineLvl w:val="4"/>
    </w:pPr>
    <w:rPr>
      <w:rFonts w:ascii="Arial" w:hAnsi="Arial" w:eastAsia="等线" w:cs="Arial"/>
      <w:b/>
      <w:bCs/>
      <w:sz w:val="24"/>
      <w:szCs w:val="24"/>
    </w:rPr>
  </w:style>
  <w:style w:type="paragraph" w:styleId="7">
    <w:name w:val="heading 6"/>
    <w:next w:val="1"/>
    <w:qFormat/>
    <w:uiPriority w:val="0"/>
    <w:pPr>
      <w:spacing w:before="240" w:after="120" w:line="288" w:lineRule="auto"/>
      <w:ind w:left="0"/>
      <w:jc w:val="left"/>
      <w:outlineLvl w:val="5"/>
    </w:pPr>
    <w:rPr>
      <w:rFonts w:ascii="Arial" w:hAnsi="Arial" w:eastAsia="等线" w:cs="Arial"/>
      <w:b/>
      <w:bCs/>
      <w:sz w:val="24"/>
      <w:szCs w:val="24"/>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8">
    <w:name w:val="footnote text"/>
    <w:link w:val="15"/>
    <w:semiHidden/>
    <w:unhideWhenUsed/>
    <w:qFormat/>
    <w:uiPriority w:val="99"/>
    <w:pPr>
      <w:spacing w:after="0" w:line="240" w:lineRule="auto"/>
    </w:pPr>
    <w:rPr>
      <w:rFonts w:asciiTheme="minorHAnsi" w:hAnsiTheme="minorHAnsi" w:eastAsiaTheme="minorEastAsia" w:cstheme="minorBidi"/>
      <w:sz w:val="20"/>
      <w:szCs w:val="20"/>
    </w:rPr>
  </w:style>
  <w:style w:type="paragraph" w:styleId="9">
    <w:name w:val="Title"/>
    <w:qFormat/>
    <w:uiPriority w:val="0"/>
    <w:pPr>
      <w:spacing w:before="480" w:after="480" w:line="288" w:lineRule="auto"/>
      <w:ind w:left="0"/>
    </w:pPr>
    <w:rPr>
      <w:rFonts w:ascii="Arial" w:hAnsi="Arial" w:eastAsia="等线" w:cs="Arial"/>
      <w:b/>
      <w:bCs/>
      <w:sz w:val="52"/>
      <w:szCs w:val="52"/>
    </w:rPr>
  </w:style>
  <w:style w:type="character" w:styleId="12">
    <w:name w:val="Hyperlink"/>
    <w:unhideWhenUsed/>
    <w:qFormat/>
    <w:uiPriority w:val="99"/>
    <w:rPr>
      <w:color w:val="0563C1"/>
      <w:u w:val="single"/>
    </w:rPr>
  </w:style>
  <w:style w:type="character" w:styleId="13">
    <w:name w:val="footnote reference"/>
    <w:semiHidden/>
    <w:unhideWhenUsed/>
    <w:qFormat/>
    <w:uiPriority w:val="99"/>
    <w:rPr>
      <w:vertAlign w:val="superscript"/>
    </w:rPr>
  </w:style>
  <w:style w:type="paragraph" w:styleId="14">
    <w:name w:val="List Paragraph"/>
    <w:qFormat/>
    <w:uiPriority w:val="0"/>
    <w:rPr>
      <w:rFonts w:asciiTheme="minorHAnsi" w:hAnsiTheme="minorHAnsi" w:eastAsiaTheme="minorEastAsia" w:cstheme="minorBidi"/>
      <w:sz w:val="21"/>
      <w:szCs w:val="22"/>
    </w:rPr>
  </w:style>
  <w:style w:type="character" w:customStyle="1" w:styleId="15">
    <w:name w:val="Footnote Text Char"/>
    <w:link w:val="8"/>
    <w:semiHidden/>
    <w:unhideWhenUsed/>
    <w:qFormat/>
    <w:uiPriority w:val="99"/>
    <w:rPr>
      <w:sz w:val="20"/>
      <w:szCs w:val="20"/>
    </w:rPr>
  </w:style>
  <w:style w:type="paragraph" w:customStyle="1" w:styleId="16">
    <w:name w:val="_Style 13"/>
    <w:qFormat/>
    <w:uiPriority w:val="0"/>
    <w:pPr>
      <w:spacing w:before="120" w:after="120" w:line="288" w:lineRule="auto"/>
      <w:ind w:left="0"/>
      <w:jc w:val="left"/>
    </w:pPr>
    <w:rPr>
      <w:rFonts w:ascii="Arial" w:hAnsi="Arial" w:eastAsia="等线" w:cs="Arial"/>
      <w:sz w:val="22"/>
      <w:szCs w:val="22"/>
    </w:rPr>
  </w:style>
  <w:style w:type="paragraph" w:customStyle="1" w:styleId="17">
    <w:name w:val="_Style 14"/>
    <w:qFormat/>
    <w:uiPriority w:val="0"/>
    <w:pPr>
      <w:spacing w:before="120" w:after="120" w:line="288" w:lineRule="auto"/>
      <w:ind w:left="0"/>
      <w:jc w:val="left"/>
    </w:pPr>
    <w:rPr>
      <w:rFonts w:ascii="Arial" w:hAnsi="Arial" w:eastAsia="等线" w:cs="Arial"/>
      <w:color w:val="8F959E"/>
      <w:sz w:val="22"/>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Pages>
  <TotalTime>0</TotalTime>
  <ScaleCrop>false</ScaleCrop>
  <LinksUpToDate>false</LinksUpToDate>
  <Application>WPS Office_12.8.2.1114_F1E327BC-269C-435d-A152-05C5408002CA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2025-04-30T02:57:00Z</dcterms:created>
  <dc:creator>Un-named</dc:creator>
  <cp:lastModifiedBy>安伟</cp:lastModifiedBy>
  <dcterms:modified xsi:type="dcterms:W3CDTF">2025-12-02T16:34:51Z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ICV">
    <vt:lpwstr>0D237B5499D218884F86FC67E1236974_42</vt:lpwstr>
  </property>
</Properties>
</file>